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2BE0DE21" w:rsidR="0003090D" w:rsidRPr="00B979F0" w:rsidRDefault="009A6371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 </w:t>
      </w:r>
      <w:r w:rsidR="0003090D" w:rsidRPr="00B979F0">
        <w:rPr>
          <w:rFonts w:ascii="Arial" w:eastAsia="Times New Roman" w:hAnsi="Arial" w:cs="Arial"/>
          <w:b/>
          <w:bCs/>
        </w:rPr>
        <w:t>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7D9F6FC7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6B64CC">
              <w:rPr>
                <w:rFonts w:ascii="Arial" w:eastAsia="Times New Roman" w:hAnsi="Arial" w:cs="Arial"/>
                <w:b/>
              </w:rPr>
              <w:t xml:space="preserve">Field Learning Contract               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54967756" w14:textId="067DCE4B" w:rsidR="00E07C20" w:rsidRDefault="006B64CC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</w:t>
            </w: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1F2069BB" w14:textId="5962399B" w:rsidR="00E07C20" w:rsidRDefault="006B64CC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end of the semester upon completion of their field course and field hours</w:t>
            </w: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5ABE3F01" w14:textId="7B22F981" w:rsidR="00E07C20" w:rsidRDefault="006B64CC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 in cooperation with Field Coordinator</w:t>
            </w: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6EC03CF" w14:textId="0868BDBA" w:rsidR="00E275E4" w:rsidRDefault="006B64CC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on a 5-point Likert type scale</w:t>
            </w:r>
          </w:p>
        </w:tc>
      </w:tr>
      <w:tr w:rsidR="00E275E4" w14:paraId="31B09FE8" w14:textId="77777777" w:rsidTr="00775DDC">
        <w:trPr>
          <w:jc w:val="center"/>
        </w:trPr>
        <w:tc>
          <w:tcPr>
            <w:tcW w:w="7735" w:type="dxa"/>
          </w:tcPr>
          <w:p w14:paraId="0535DF75" w14:textId="11671E24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ECA4B1D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615" w:type="dxa"/>
          </w:tcPr>
          <w:p w14:paraId="10C93599" w14:textId="562BC9AE" w:rsidR="00F97C6E" w:rsidRDefault="006B64CC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F97C6E" w14:paraId="38204C98" w14:textId="77777777" w:rsidTr="00775DDC">
        <w:trPr>
          <w:jc w:val="center"/>
        </w:trPr>
        <w:tc>
          <w:tcPr>
            <w:tcW w:w="7735" w:type="dxa"/>
          </w:tcPr>
          <w:p w14:paraId="7CD89EB3" w14:textId="656F947D" w:rsidR="00F97C6E" w:rsidRPr="00AC3970" w:rsidRDefault="00440CA3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1D4D436C" w14:textId="7777777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18E97450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6B64CC">
              <w:rPr>
                <w:rFonts w:ascii="Arial" w:eastAsia="Times New Roman" w:hAnsi="Arial" w:cs="Arial"/>
                <w:b/>
              </w:rPr>
              <w:t>SWEAP Tool</w:t>
            </w: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7CD3851" w14:textId="6967CD89" w:rsidR="00A848FE" w:rsidRDefault="006C687D" w:rsidP="006C687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Knowledge, Values, and/or Cognitive and </w:t>
            </w:r>
            <w:r>
              <w:rPr>
                <w:rFonts w:ascii="Arial" w:eastAsia="Times New Roman" w:hAnsi="Arial" w:cs="Arial"/>
              </w:rPr>
              <w:lastRenderedPageBreak/>
              <w:t>Affectual Processes</w:t>
            </w: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When/where students are assessed:</w:t>
            </w:r>
          </w:p>
        </w:tc>
        <w:tc>
          <w:tcPr>
            <w:tcW w:w="1615" w:type="dxa"/>
          </w:tcPr>
          <w:p w14:paraId="5692CECD" w14:textId="349356BE" w:rsidR="00A848FE" w:rsidRDefault="006B64CC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end of the year</w:t>
            </w: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0B98F920" w14:textId="2DB92ADC" w:rsidR="00A848FE" w:rsidRDefault="006C687D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Course instructors</w:t>
            </w: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1F28EE39" w14:textId="47C85677" w:rsidR="00E275E4" w:rsidRDefault="006B64CC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on a 5-point Likert type scale</w:t>
            </w:r>
          </w:p>
        </w:tc>
      </w:tr>
      <w:tr w:rsidR="00E275E4" w14:paraId="76FE3F08" w14:textId="77777777" w:rsidTr="00775DDC">
        <w:trPr>
          <w:jc w:val="center"/>
        </w:trPr>
        <w:tc>
          <w:tcPr>
            <w:tcW w:w="7735" w:type="dxa"/>
          </w:tcPr>
          <w:p w14:paraId="316490A3" w14:textId="41AD4FCE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A0D9AF2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F21BF88" w14:textId="55DE8DE7" w:rsidR="00440CA3" w:rsidRDefault="006B64CC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440CA3" w14:paraId="1DCAE6A5" w14:textId="77777777" w:rsidTr="00775DDC">
        <w:trPr>
          <w:jc w:val="center"/>
        </w:trPr>
        <w:tc>
          <w:tcPr>
            <w:tcW w:w="7735" w:type="dxa"/>
          </w:tcPr>
          <w:p w14:paraId="4C5EE93E" w14:textId="6BBE8608" w:rsidR="00440CA3" w:rsidRPr="00AC3970" w:rsidRDefault="00440CA3" w:rsidP="00440CA3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7026DBCB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C3970" w14:paraId="2B35ACA5" w14:textId="77777777" w:rsidTr="00BE74C1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0391563" w14:textId="77777777" w:rsidR="00AC3970" w:rsidRPr="00BE74C1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t>[optional] Assessment Measure #3: (INSTRUMENT NAME)</w:t>
            </w:r>
          </w:p>
          <w:p w14:paraId="1632856F" w14:textId="298FF14C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>
              <w:rPr>
                <w:rFonts w:ascii="Arial" w:eastAsia="Times New Roman" w:hAnsi="Arial" w:cs="Arial"/>
                <w:i/>
                <w:color w:val="C00000"/>
              </w:rPr>
              <w:t xml:space="preserve">Repeat table for each </w:t>
            </w:r>
            <w:r w:rsidR="00BE74C1">
              <w:rPr>
                <w:rFonts w:ascii="Arial" w:eastAsia="Times New Roman" w:hAnsi="Arial" w:cs="Arial"/>
                <w:i/>
                <w:color w:val="C00000"/>
              </w:rPr>
              <w:t>additional measure</w:t>
            </w:r>
            <w:r w:rsidRPr="00AC3970">
              <w:rPr>
                <w:rFonts w:ascii="Arial" w:eastAsia="Times New Roman" w:hAnsi="Arial" w:cs="Arial"/>
                <w:i/>
                <w:color w:val="C00000"/>
              </w:rPr>
              <w:t>)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4DAD34ED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6C687D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9A3D2D">
        <w:rPr>
          <w:rFonts w:ascii="Arial" w:eastAsia="Times New Roman" w:hAnsi="Arial" w:cs="Arial"/>
          <w:b/>
          <w:bCs/>
          <w:color w:val="000000" w:themeColor="text1"/>
        </w:rPr>
        <w:t>2</w:t>
      </w:r>
      <w:r w:rsidR="004478A5">
        <w:rPr>
          <w:rFonts w:ascii="Arial" w:eastAsia="Times New Roman" w:hAnsi="Arial" w:cs="Arial"/>
          <w:b/>
          <w:bCs/>
          <w:color w:val="000000" w:themeColor="text1"/>
        </w:rPr>
        <w:t>1</w:t>
      </w:r>
      <w:r w:rsidR="00562E4A" w:rsidRPr="006C687D">
        <w:rPr>
          <w:rFonts w:ascii="Arial" w:eastAsia="Times New Roman" w:hAnsi="Arial" w:cs="Arial"/>
          <w:b/>
          <w:bCs/>
          <w:color w:val="000000" w:themeColor="text1"/>
        </w:rPr>
        <w:t>-20</w:t>
      </w:r>
      <w:r w:rsidR="006C687D" w:rsidRPr="006C687D">
        <w:rPr>
          <w:rFonts w:ascii="Arial" w:eastAsia="Times New Roman" w:hAnsi="Arial" w:cs="Arial"/>
          <w:b/>
          <w:bCs/>
          <w:color w:val="000000" w:themeColor="text1"/>
        </w:rPr>
        <w:t>2</w:t>
      </w:r>
      <w:r w:rsidR="004478A5">
        <w:rPr>
          <w:rFonts w:ascii="Arial" w:eastAsia="Times New Roman" w:hAnsi="Arial" w:cs="Arial"/>
          <w:b/>
          <w:bCs/>
          <w:color w:val="000000" w:themeColor="text1"/>
        </w:rPr>
        <w:t>2</w:t>
      </w:r>
      <w:r w:rsidR="00562E4A" w:rsidRPr="006C687D">
        <w:rPr>
          <w:rFonts w:ascii="Arial" w:eastAsia="Times New Roman" w:hAnsi="Arial" w:cs="Arial"/>
          <w:b/>
          <w:bCs/>
          <w:color w:val="000000" w:themeColor="text1"/>
        </w:rPr>
        <w:t>)</w:t>
      </w:r>
      <w:r w:rsidRPr="006C687D">
        <w:rPr>
          <w:rFonts w:ascii="Arial" w:eastAsia="Times New Roman" w:hAnsi="Arial" w:cs="Arial"/>
          <w:color w:val="000000" w:themeColor="text1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5450EA92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</w:t>
            </w:r>
            <w:r w:rsidR="004478A5"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  <w:r w:rsidR="00631E33">
              <w:rPr>
                <w:rFonts w:ascii="Arial" w:eastAsia="Times New Roman" w:hAnsi="Arial" w:cs="Arial"/>
                <w:b/>
                <w:bCs/>
                <w:sz w:val="20"/>
              </w:rPr>
              <w:t>3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268C2013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4478A5"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  <w:r w:rsidR="00631E33">
              <w:rPr>
                <w:rFonts w:ascii="Arial" w:eastAsia="Times New Roman" w:hAnsi="Arial" w:cs="Arial"/>
                <w:b/>
                <w:bCs/>
                <w:sz w:val="20"/>
              </w:rPr>
              <w:t>3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00FDB8BE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99B42" w14:textId="542E777A" w:rsidR="00FE5039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  <w:p w14:paraId="7736E104" w14:textId="77777777" w:rsidR="00206032" w:rsidRDefault="00206032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  <w:p w14:paraId="71FA5199" w14:textId="77777777" w:rsidR="00206032" w:rsidRDefault="00206032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  <w:p w14:paraId="4825BC4E" w14:textId="6B3F74B9" w:rsidR="00206032" w:rsidRPr="006C687D" w:rsidRDefault="006C687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E40A7" w14:textId="77777777" w:rsidR="008560A9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7B141DA" w14:textId="77777777" w:rsidR="008560A9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EFDAD4B" w14:textId="77777777" w:rsidR="008560A9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46739A5" w14:textId="4C6642AC" w:rsidR="00206032" w:rsidRPr="00B979F0" w:rsidRDefault="00142FEC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80</w:t>
            </w:r>
            <w:r w:rsidR="008560A9" w:rsidRP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6630" w14:textId="77777777" w:rsidR="00206032" w:rsidRDefault="00206032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23E789A6" w14:textId="5F710122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  (</w:t>
            </w:r>
            <w:r w:rsidR="004478A5">
              <w:rPr>
                <w:rFonts w:ascii="ArialMT" w:hAnsi="ArialMT"/>
              </w:rPr>
              <w:t>9</w:t>
            </w:r>
            <w:r w:rsidR="00B11C27">
              <w:rPr>
                <w:rFonts w:ascii="ArialMT" w:hAnsi="ArialMT"/>
              </w:rPr>
              <w:t>3</w:t>
            </w:r>
            <w:r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67</w:t>
            </w:r>
            <w:r>
              <w:rPr>
                <w:rFonts w:ascii="ArialMT" w:hAnsi="ArialMT"/>
              </w:rPr>
              <w:t xml:space="preserve">%)/2= </w:t>
            </w:r>
          </w:p>
          <w:p w14:paraId="421AB110" w14:textId="15ABDBBA" w:rsidR="006C687D" w:rsidRPr="00B979F0" w:rsidRDefault="008560A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 xml:space="preserve">               </w:t>
            </w:r>
            <w:r w:rsidR="00B11C27">
              <w:rPr>
                <w:rFonts w:ascii="Arial" w:eastAsia="Times New Roman" w:hAnsi="Arial" w:cs="Arial"/>
              </w:rPr>
              <w:t>80</w:t>
            </w:r>
            <w:r w:rsidR="006C687D" w:rsidRP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50E1" w14:textId="77777777" w:rsidR="00853C97" w:rsidRDefault="008560A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 xml:space="preserve"> </w:t>
            </w:r>
          </w:p>
          <w:p w14:paraId="6C200A60" w14:textId="77777777" w:rsidR="00FE5039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highlight w:val="lightGray"/>
              </w:rPr>
            </w:pPr>
          </w:p>
          <w:p w14:paraId="2CC0BDA8" w14:textId="00051751" w:rsidR="00853C97" w:rsidRPr="00853C97" w:rsidRDefault="00853C97" w:rsidP="00142F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highlight w:val="lightGray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7777777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731D8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206032">
              <w:rPr>
                <w:rFonts w:ascii="Arial" w:eastAsia="Times New Roman" w:hAnsi="Arial" w:cs="Arial"/>
              </w:rPr>
              <w:t xml:space="preserve">   </w:t>
            </w:r>
          </w:p>
          <w:p w14:paraId="2E35129E" w14:textId="017CB679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A5E1E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4517F4FD" w14:textId="6F82F5B0" w:rsidR="00206032" w:rsidRPr="00B979F0" w:rsidRDefault="008560A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</w:t>
            </w:r>
            <w:r w:rsidR="003E5456">
              <w:rPr>
                <w:rFonts w:ascii="Arial" w:eastAsia="Times New Roman" w:hAnsi="Arial" w:cs="Arial"/>
              </w:rPr>
              <w:t>9</w:t>
            </w:r>
            <w:r w:rsidR="00142FEC">
              <w:rPr>
                <w:rFonts w:ascii="Arial" w:eastAsia="Times New Roman" w:hAnsi="Arial" w:cs="Arial"/>
              </w:rPr>
              <w:t>2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51308" w14:textId="5997A7B5" w:rsidR="008560A9" w:rsidRDefault="00FE5039" w:rsidP="008560A9">
            <w:pPr>
              <w:pStyle w:val="NormalWeb"/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8560A9">
              <w:rPr>
                <w:rFonts w:ascii="Arial" w:eastAsia="Times New Roman" w:hAnsi="Arial" w:cs="Arial"/>
              </w:rPr>
              <w:t xml:space="preserve">      </w:t>
            </w:r>
            <w:r w:rsidR="008560A9">
              <w:rPr>
                <w:rFonts w:ascii="ArialMT" w:hAnsi="ArialMT"/>
              </w:rPr>
              <w:t>(</w:t>
            </w:r>
            <w:r w:rsidR="00B11C27">
              <w:rPr>
                <w:rFonts w:ascii="ArialMT" w:hAnsi="ArialMT"/>
              </w:rPr>
              <w:t>91</w:t>
            </w:r>
            <w:r w:rsidR="008560A9">
              <w:rPr>
                <w:rFonts w:ascii="ArialMT" w:hAnsi="ArialMT"/>
              </w:rPr>
              <w:t>%+</w:t>
            </w:r>
            <w:r w:rsidR="00631E33">
              <w:rPr>
                <w:rFonts w:ascii="ArialMT" w:hAnsi="ArialMT"/>
              </w:rPr>
              <w:t>9</w:t>
            </w:r>
            <w:r w:rsidR="00B11C27">
              <w:rPr>
                <w:rFonts w:ascii="ArialMT" w:hAnsi="ArialMT"/>
              </w:rPr>
              <w:t>2</w:t>
            </w:r>
            <w:r w:rsidR="008560A9">
              <w:rPr>
                <w:rFonts w:ascii="ArialMT" w:hAnsi="ArialMT"/>
              </w:rPr>
              <w:t xml:space="preserve">%)/2= </w:t>
            </w:r>
          </w:p>
          <w:p w14:paraId="431E7397" w14:textId="536B99CE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560A9">
              <w:rPr>
                <w:rFonts w:ascii="Arial" w:eastAsia="Times New Roman" w:hAnsi="Arial" w:cs="Arial"/>
              </w:rPr>
              <w:t xml:space="preserve">              </w:t>
            </w:r>
            <w:r w:rsidR="003E5456">
              <w:rPr>
                <w:rFonts w:ascii="Arial" w:eastAsia="Times New Roman" w:hAnsi="Arial" w:cs="Arial"/>
              </w:rPr>
              <w:t>9</w:t>
            </w:r>
            <w:r w:rsidR="00B11C27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A43CC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1C74529" w14:textId="0435909D" w:rsidR="00853C97" w:rsidRDefault="00853C97" w:rsidP="00853C97">
            <w:pPr>
              <w:jc w:val="center"/>
              <w:rPr>
                <w:rFonts w:ascii="Arial" w:eastAsia="Times New Roman" w:hAnsi="Arial" w:cs="Arial"/>
              </w:rPr>
            </w:pPr>
          </w:p>
          <w:p w14:paraId="02452DFE" w14:textId="1187CCC4" w:rsidR="00853C97" w:rsidRPr="00853C97" w:rsidRDefault="00853C97" w:rsidP="00853C9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8BDEB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A16BED6" w14:textId="79147270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8A5AF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5A3D842" w14:textId="5817169D" w:rsidR="00206032" w:rsidRPr="00B979F0" w:rsidRDefault="008560A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</w:t>
            </w:r>
            <w:r w:rsidR="003E5456">
              <w:rPr>
                <w:rFonts w:ascii="Arial" w:eastAsia="Times New Roman" w:hAnsi="Arial" w:cs="Arial"/>
              </w:rPr>
              <w:t>9</w:t>
            </w:r>
            <w:r w:rsidR="00142FEC">
              <w:rPr>
                <w:rFonts w:ascii="Arial" w:eastAsia="Times New Roman" w:hAnsi="Arial" w:cs="Arial"/>
              </w:rPr>
              <w:t>5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CD1D4" w14:textId="77777777" w:rsidR="008560A9" w:rsidRDefault="008560A9" w:rsidP="008560A9">
            <w:pPr>
              <w:pStyle w:val="NormalWeb"/>
              <w:rPr>
                <w:rFonts w:ascii="ArialMT" w:hAnsi="ArialMT"/>
              </w:rPr>
            </w:pPr>
            <w:r>
              <w:rPr>
                <w:rFonts w:ascii="ArialMT" w:hAnsi="ArialMT"/>
              </w:rPr>
              <w:t xml:space="preserve">  </w:t>
            </w:r>
          </w:p>
          <w:p w14:paraId="6661CFC8" w14:textId="392A1A29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(9</w:t>
            </w:r>
            <w:r w:rsidR="00B11C27">
              <w:rPr>
                <w:rFonts w:ascii="ArialMT" w:hAnsi="ArialMT"/>
              </w:rPr>
              <w:t>7</w:t>
            </w:r>
            <w:r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92</w:t>
            </w:r>
            <w:r>
              <w:rPr>
                <w:rFonts w:ascii="ArialMT" w:hAnsi="ArialMT"/>
              </w:rPr>
              <w:t xml:space="preserve">%)/2= </w:t>
            </w:r>
          </w:p>
          <w:p w14:paraId="19AC1E84" w14:textId="204E6A9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           </w:t>
            </w:r>
            <w:r w:rsidR="003E5456">
              <w:rPr>
                <w:rFonts w:ascii="Arial" w:eastAsia="Times New Roman" w:hAnsi="Arial" w:cs="Arial"/>
              </w:rPr>
              <w:t>9</w:t>
            </w:r>
            <w:r w:rsidR="00B11C27">
              <w:rPr>
                <w:rFonts w:ascii="Arial" w:eastAsia="Times New Roman" w:hAnsi="Arial" w:cs="Arial"/>
              </w:rPr>
              <w:t>5</w:t>
            </w:r>
            <w:r w:rsid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FB6C2" w14:textId="77777777" w:rsidR="00853C97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B1B6CD1" w14:textId="79364002" w:rsidR="00FE5039" w:rsidRPr="00B979F0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D23DE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D6074C0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B564A07" w14:textId="40BA1E6D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56983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32073C9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5862B234" w14:textId="189A850A" w:rsidR="00206032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560A9">
              <w:rPr>
                <w:rFonts w:ascii="Arial" w:eastAsia="Times New Roman" w:hAnsi="Arial" w:cs="Arial"/>
              </w:rPr>
              <w:t xml:space="preserve">               </w:t>
            </w:r>
            <w:r w:rsidR="00142FEC">
              <w:rPr>
                <w:rFonts w:ascii="Arial" w:eastAsia="Times New Roman" w:hAnsi="Arial" w:cs="Arial"/>
              </w:rPr>
              <w:t>77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09FD" w14:textId="77777777" w:rsidR="008560A9" w:rsidRDefault="008560A9" w:rsidP="008560A9">
            <w:pPr>
              <w:pStyle w:val="NormalWeb"/>
              <w:rPr>
                <w:rFonts w:ascii="ArialMT" w:hAnsi="ArialMT"/>
              </w:rPr>
            </w:pPr>
          </w:p>
          <w:p w14:paraId="3E129F27" w14:textId="024F5587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</w:t>
            </w:r>
            <w:r w:rsidR="004478A5">
              <w:rPr>
                <w:rFonts w:ascii="ArialMT" w:hAnsi="ArialMT"/>
              </w:rPr>
              <w:t>9</w:t>
            </w:r>
            <w:r w:rsidR="00B11C27">
              <w:rPr>
                <w:rFonts w:ascii="ArialMT" w:hAnsi="ArialMT"/>
              </w:rPr>
              <w:t>5</w:t>
            </w:r>
            <w:r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58</w:t>
            </w:r>
            <w:r>
              <w:rPr>
                <w:rFonts w:ascii="ArialMT" w:hAnsi="ArialMT"/>
              </w:rPr>
              <w:t xml:space="preserve">%)/2= </w:t>
            </w:r>
          </w:p>
          <w:p w14:paraId="5D5B4F8D" w14:textId="2B93A33B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          </w:t>
            </w:r>
            <w:r w:rsidR="00B11C27">
              <w:rPr>
                <w:rFonts w:ascii="Arial" w:eastAsia="Times New Roman" w:hAnsi="Arial" w:cs="Arial"/>
              </w:rPr>
              <w:t>77</w:t>
            </w:r>
            <w:r w:rsid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229C1" w14:textId="77777777" w:rsidR="00853C97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853C97">
              <w:rPr>
                <w:rFonts w:ascii="Arial" w:eastAsia="Times New Roman" w:hAnsi="Arial" w:cs="Arial"/>
              </w:rPr>
              <w:t xml:space="preserve">    </w:t>
            </w:r>
          </w:p>
          <w:p w14:paraId="6C525D37" w14:textId="77777777" w:rsidR="00853C97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307CC30" w14:textId="217C2470" w:rsidR="00FE5039" w:rsidRPr="00B979F0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80FC" w14:textId="77777777" w:rsidR="006C687D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</w:t>
            </w:r>
          </w:p>
          <w:p w14:paraId="2EC0EA35" w14:textId="4CB7730E" w:rsidR="00FE5039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A2C42" w14:textId="77777777" w:rsidR="009D48A4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9E5C5E7" w14:textId="50C3B37E" w:rsidR="00FE5039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</w:t>
            </w:r>
            <w:r w:rsidR="00142FEC">
              <w:rPr>
                <w:rFonts w:ascii="Arial" w:eastAsia="Times New Roman" w:hAnsi="Arial" w:cs="Arial"/>
              </w:rPr>
              <w:t>66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BA62A" w14:textId="2C4C804A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(9</w:t>
            </w:r>
            <w:r w:rsidR="004478A5">
              <w:rPr>
                <w:rFonts w:ascii="ArialMT" w:hAnsi="ArialMT"/>
              </w:rPr>
              <w:t>0</w:t>
            </w:r>
            <w:r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42</w:t>
            </w:r>
            <w:r>
              <w:rPr>
                <w:rFonts w:ascii="ArialMT" w:hAnsi="ArialMT"/>
              </w:rPr>
              <w:t xml:space="preserve">%)/2= </w:t>
            </w:r>
          </w:p>
          <w:p w14:paraId="3EE5EFCE" w14:textId="38D652A9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          </w:t>
            </w:r>
            <w:r w:rsidR="00B11C27">
              <w:rPr>
                <w:rFonts w:ascii="Arial" w:eastAsia="Times New Roman" w:hAnsi="Arial" w:cs="Arial"/>
              </w:rPr>
              <w:t>66</w:t>
            </w:r>
            <w:r w:rsidR="006C687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ECAE8" w14:textId="77777777" w:rsidR="00853C97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162D9737" w14:textId="640BFB72" w:rsidR="00FE5039" w:rsidRPr="00B979F0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C1076" w14:textId="77777777" w:rsidR="006C687D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8A859C4" w14:textId="77777777" w:rsidR="009D48A4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</w:t>
            </w:r>
          </w:p>
          <w:p w14:paraId="3079F9A6" w14:textId="28DE4359" w:rsidR="00FE5039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6C687D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4E89F" w14:textId="77777777" w:rsidR="009D48A4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049F1FF" w14:textId="77777777" w:rsidR="009D48A4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526B2421" w14:textId="7C1E9520" w:rsidR="00FE5039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</w:t>
            </w:r>
            <w:r w:rsidR="00142FEC">
              <w:rPr>
                <w:rFonts w:ascii="Arial" w:eastAsia="Times New Roman" w:hAnsi="Arial" w:cs="Arial"/>
              </w:rPr>
              <w:t>80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1BC61" w14:textId="77777777" w:rsidR="008560A9" w:rsidRDefault="00FE503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E54C45F" w14:textId="3FD72D7E" w:rsidR="008560A9" w:rsidRPr="008560A9" w:rsidRDefault="008560A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MT" w:hAnsi="ArialMT"/>
              </w:rPr>
              <w:t xml:space="preserve">      (</w:t>
            </w:r>
            <w:r w:rsidR="004478A5">
              <w:rPr>
                <w:rFonts w:ascii="ArialMT" w:hAnsi="ArialMT"/>
              </w:rPr>
              <w:t>9</w:t>
            </w:r>
            <w:r w:rsidR="00B11C27">
              <w:rPr>
                <w:rFonts w:ascii="ArialMT" w:hAnsi="ArialMT"/>
              </w:rPr>
              <w:t>3</w:t>
            </w:r>
            <w:r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67</w:t>
            </w:r>
            <w:r>
              <w:rPr>
                <w:rFonts w:ascii="ArialMT" w:hAnsi="ArialMT"/>
              </w:rPr>
              <w:t xml:space="preserve">%)/2= </w:t>
            </w:r>
          </w:p>
          <w:p w14:paraId="1D1A5CAC" w14:textId="77777777" w:rsidR="006C687D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355E31F" w14:textId="7F24EB12" w:rsidR="00FE5039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</w:t>
            </w:r>
            <w:r w:rsidR="00B11C27">
              <w:rPr>
                <w:rFonts w:ascii="Arial" w:eastAsia="Times New Roman" w:hAnsi="Arial" w:cs="Arial"/>
              </w:rPr>
              <w:t>80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95148" w14:textId="77777777" w:rsidR="00853C97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606C5AF" w14:textId="77777777" w:rsidR="00853C97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40F713FF" w14:textId="103D4CE5" w:rsidR="00FE5039" w:rsidRPr="00B979F0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88207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1605623" w14:textId="77777777" w:rsidR="009D48A4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</w:t>
            </w:r>
          </w:p>
          <w:p w14:paraId="2308D97C" w14:textId="14C0F196" w:rsidR="00206032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6C687D">
              <w:rPr>
                <w:rFonts w:ascii="Arial" w:eastAsia="Times New Roman" w:hAnsi="Arial" w:cs="Arial"/>
              </w:rPr>
              <w:t xml:space="preserve">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84CF4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536AC8C" w14:textId="77777777" w:rsidR="009D48A4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258C343A" w14:textId="71E21728" w:rsidR="009D48A4" w:rsidRPr="00B979F0" w:rsidRDefault="009D48A4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</w:t>
            </w:r>
            <w:r w:rsidR="004478A5">
              <w:rPr>
                <w:rFonts w:ascii="Arial" w:eastAsia="Times New Roman" w:hAnsi="Arial" w:cs="Arial"/>
              </w:rPr>
              <w:t>93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AD88E" w14:textId="77777777" w:rsidR="009D48A4" w:rsidRDefault="00FE5039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  </w:t>
            </w:r>
          </w:p>
          <w:p w14:paraId="689E817D" w14:textId="1306762F" w:rsidR="008560A9" w:rsidRPr="008560A9" w:rsidRDefault="009D48A4" w:rsidP="008560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8560A9">
              <w:rPr>
                <w:rFonts w:ascii="ArialMT" w:hAnsi="ArialMT"/>
              </w:rPr>
              <w:t>(</w:t>
            </w:r>
            <w:r w:rsidR="004478A5">
              <w:rPr>
                <w:rFonts w:ascii="ArialMT" w:hAnsi="ArialMT"/>
              </w:rPr>
              <w:t>93</w:t>
            </w:r>
            <w:r w:rsidR="008560A9"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92</w:t>
            </w:r>
            <w:r w:rsidR="008560A9">
              <w:rPr>
                <w:rFonts w:ascii="ArialMT" w:hAnsi="ArialMT"/>
              </w:rPr>
              <w:t xml:space="preserve">%)/2= </w:t>
            </w:r>
          </w:p>
          <w:p w14:paraId="7435FF1D" w14:textId="77777777" w:rsidR="006C687D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EBC682B" w14:textId="67FB7B2E" w:rsidR="00FE5039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</w:t>
            </w:r>
            <w:r w:rsidR="003E5456">
              <w:rPr>
                <w:rFonts w:ascii="Arial" w:eastAsia="Times New Roman" w:hAnsi="Arial" w:cs="Arial"/>
              </w:rPr>
              <w:t>9</w:t>
            </w:r>
            <w:r w:rsidR="004478A5">
              <w:rPr>
                <w:rFonts w:ascii="Arial" w:eastAsia="Times New Roman" w:hAnsi="Arial" w:cs="Arial"/>
              </w:rPr>
              <w:t>3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15129" w14:textId="77777777" w:rsidR="00853C97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CF4FDF4" w14:textId="5DACFB05" w:rsidR="00FE5039" w:rsidRPr="00B979F0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02CB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774B2D68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F64EF4D" w14:textId="2579E6E2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</w:t>
            </w:r>
            <w:r w:rsidR="00206032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6DF5D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0F8EAE6" w14:textId="77777777" w:rsidR="00206032" w:rsidRDefault="0020603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E3D39D0" w14:textId="58AADD7C" w:rsidR="00206032" w:rsidRPr="00B979F0" w:rsidRDefault="003E545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</w:t>
            </w:r>
            <w:r w:rsidR="00142FEC">
              <w:rPr>
                <w:rFonts w:ascii="Arial" w:eastAsia="Times New Roman" w:hAnsi="Arial" w:cs="Arial"/>
              </w:rPr>
              <w:t>88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F81B7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399F267" w14:textId="4CA44A7A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</w:t>
            </w:r>
            <w:r w:rsidR="00B11C27">
              <w:rPr>
                <w:rFonts w:ascii="ArialMT" w:hAnsi="ArialMT"/>
              </w:rPr>
              <w:t>93</w:t>
            </w:r>
            <w:r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83</w:t>
            </w:r>
            <w:r>
              <w:rPr>
                <w:rFonts w:ascii="ArialMT" w:hAnsi="ArialMT"/>
              </w:rPr>
              <w:t xml:space="preserve">%)/2= </w:t>
            </w:r>
          </w:p>
          <w:p w14:paraId="2DDF9610" w14:textId="106FA631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8560A9">
              <w:rPr>
                <w:rFonts w:ascii="Arial" w:eastAsia="Times New Roman" w:hAnsi="Arial" w:cs="Arial"/>
              </w:rPr>
              <w:t xml:space="preserve">      </w:t>
            </w:r>
            <w:r w:rsidR="00B11C27">
              <w:rPr>
                <w:rFonts w:ascii="Arial" w:eastAsia="Times New Roman" w:hAnsi="Arial" w:cs="Arial"/>
              </w:rPr>
              <w:t>88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62D6A" w14:textId="77777777" w:rsidR="00853C97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4AC021C" w14:textId="77777777" w:rsidR="00853C97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758CB1CF" w14:textId="4E519E4D" w:rsidR="00FE5039" w:rsidRPr="00B979F0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1266E" w14:textId="77777777" w:rsidR="00FE5039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B52E165" w14:textId="7F151DC3" w:rsidR="00206032" w:rsidRPr="00B979F0" w:rsidRDefault="006C687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22042" w14:textId="77777777" w:rsidR="003E5456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59DA527" w14:textId="0535082E" w:rsidR="00FE5039" w:rsidRPr="00B979F0" w:rsidRDefault="003E545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</w:t>
            </w:r>
            <w:r w:rsidR="00142FEC">
              <w:rPr>
                <w:rFonts w:ascii="Arial" w:eastAsia="Times New Roman" w:hAnsi="Arial" w:cs="Arial"/>
              </w:rPr>
              <w:t>68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6D410" w14:textId="77777777" w:rsidR="006C687D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C687D">
              <w:rPr>
                <w:rFonts w:ascii="Arial" w:eastAsia="Times New Roman" w:hAnsi="Arial" w:cs="Arial"/>
              </w:rPr>
              <w:t xml:space="preserve"> </w:t>
            </w:r>
          </w:p>
          <w:p w14:paraId="4A9FBDDC" w14:textId="523B3EA3" w:rsidR="008560A9" w:rsidRDefault="008560A9" w:rsidP="008560A9">
            <w:pPr>
              <w:pStyle w:val="NormalWeb"/>
            </w:pPr>
            <w:r>
              <w:rPr>
                <w:rFonts w:ascii="ArialMT" w:hAnsi="ArialMT"/>
              </w:rPr>
              <w:t xml:space="preserve">      (</w:t>
            </w:r>
            <w:r w:rsidR="004478A5">
              <w:rPr>
                <w:rFonts w:ascii="ArialMT" w:hAnsi="ArialMT"/>
              </w:rPr>
              <w:t>9</w:t>
            </w:r>
            <w:r w:rsidR="00B11C27">
              <w:rPr>
                <w:rFonts w:ascii="ArialMT" w:hAnsi="ArialMT"/>
              </w:rPr>
              <w:t>4</w:t>
            </w:r>
            <w:r>
              <w:rPr>
                <w:rFonts w:ascii="ArialMT" w:hAnsi="ArialMT"/>
              </w:rPr>
              <w:t>%+</w:t>
            </w:r>
            <w:r w:rsidR="00B11C27">
              <w:rPr>
                <w:rFonts w:ascii="ArialMT" w:hAnsi="ArialMT"/>
              </w:rPr>
              <w:t>42</w:t>
            </w:r>
            <w:r>
              <w:rPr>
                <w:rFonts w:ascii="ArialMT" w:hAnsi="ArialMT"/>
              </w:rPr>
              <w:t xml:space="preserve">%)/2= </w:t>
            </w:r>
          </w:p>
          <w:p w14:paraId="2BD58B42" w14:textId="4FC9EA7A" w:rsidR="00FE5039" w:rsidRPr="00B979F0" w:rsidRDefault="008560A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</w:t>
            </w:r>
            <w:r w:rsidR="00B11C27">
              <w:rPr>
                <w:rFonts w:ascii="Arial" w:eastAsia="Times New Roman" w:hAnsi="Arial" w:cs="Arial"/>
              </w:rPr>
              <w:t>68</w:t>
            </w:r>
            <w:r w:rsidR="002060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6C0A8" w14:textId="77777777" w:rsidR="00853C97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32C8B34" w14:textId="77777777" w:rsidR="00853C97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A4C1E65" w14:textId="25999F0D" w:rsidR="00FE5039" w:rsidRPr="00B979F0" w:rsidRDefault="00853C9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00F796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 w:rsidR="006F741B"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 xml:space="preserve">)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Developed by the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FDFBE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1248" w14:textId="77777777" w:rsidR="00891CE3" w:rsidRDefault="00891CE3" w:rsidP="005C37CC">
      <w:pPr>
        <w:spacing w:after="0" w:line="240" w:lineRule="auto"/>
      </w:pPr>
      <w:r>
        <w:separator/>
      </w:r>
    </w:p>
  </w:endnote>
  <w:endnote w:type="continuationSeparator" w:id="0">
    <w:p w14:paraId="50B30941" w14:textId="77777777" w:rsidR="00891CE3" w:rsidRDefault="00891CE3" w:rsidP="005C37CC">
      <w:pPr>
        <w:spacing w:after="0" w:line="240" w:lineRule="auto"/>
      </w:pPr>
      <w:r>
        <w:continuationSeparator/>
      </w:r>
    </w:p>
  </w:endnote>
  <w:endnote w:type="continuationNotice" w:id="1">
    <w:p w14:paraId="0DFF9F4C" w14:textId="77777777" w:rsidR="00891CE3" w:rsidRDefault="00891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7BCD063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9A6371">
          <w:rPr>
            <w:rFonts w:ascii="Arial" w:hAnsi="Arial" w:cs="Arial"/>
            <w:b/>
            <w:noProof/>
          </w:rPr>
          <w:t>6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7C7A" w14:textId="77777777" w:rsidR="00891CE3" w:rsidRDefault="00891CE3" w:rsidP="005C37CC">
      <w:pPr>
        <w:spacing w:after="0" w:line="240" w:lineRule="auto"/>
      </w:pPr>
      <w:r>
        <w:separator/>
      </w:r>
    </w:p>
  </w:footnote>
  <w:footnote w:type="continuationSeparator" w:id="0">
    <w:p w14:paraId="1BA760EE" w14:textId="77777777" w:rsidR="00891CE3" w:rsidRDefault="00891CE3" w:rsidP="005C37CC">
      <w:pPr>
        <w:spacing w:after="0" w:line="240" w:lineRule="auto"/>
      </w:pPr>
      <w:r>
        <w:continuationSeparator/>
      </w:r>
    </w:p>
  </w:footnote>
  <w:footnote w:type="continuationNotice" w:id="1">
    <w:p w14:paraId="13B25CA7" w14:textId="77777777" w:rsidR="00891CE3" w:rsidRDefault="00891C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3695B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2FEC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032"/>
    <w:rsid w:val="0020646B"/>
    <w:rsid w:val="0020777B"/>
    <w:rsid w:val="00224713"/>
    <w:rsid w:val="00233E69"/>
    <w:rsid w:val="0025242A"/>
    <w:rsid w:val="00262163"/>
    <w:rsid w:val="00266441"/>
    <w:rsid w:val="002665F7"/>
    <w:rsid w:val="00272ACA"/>
    <w:rsid w:val="002A5349"/>
    <w:rsid w:val="002A61D9"/>
    <w:rsid w:val="002A6A84"/>
    <w:rsid w:val="002E04AE"/>
    <w:rsid w:val="002E0843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1BAE"/>
    <w:rsid w:val="00374B21"/>
    <w:rsid w:val="00381C0C"/>
    <w:rsid w:val="00390414"/>
    <w:rsid w:val="00390E03"/>
    <w:rsid w:val="00395F7B"/>
    <w:rsid w:val="003A335F"/>
    <w:rsid w:val="003A4FBC"/>
    <w:rsid w:val="003D1950"/>
    <w:rsid w:val="003E0158"/>
    <w:rsid w:val="003E3C2B"/>
    <w:rsid w:val="003E5456"/>
    <w:rsid w:val="003F3E86"/>
    <w:rsid w:val="00440CA3"/>
    <w:rsid w:val="004475B1"/>
    <w:rsid w:val="004478A5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05585"/>
    <w:rsid w:val="006149DA"/>
    <w:rsid w:val="00627E10"/>
    <w:rsid w:val="006311D5"/>
    <w:rsid w:val="00631E33"/>
    <w:rsid w:val="00650F4D"/>
    <w:rsid w:val="00660299"/>
    <w:rsid w:val="00661E9C"/>
    <w:rsid w:val="00663DAF"/>
    <w:rsid w:val="006737F1"/>
    <w:rsid w:val="00683F47"/>
    <w:rsid w:val="00697FD6"/>
    <w:rsid w:val="006A1042"/>
    <w:rsid w:val="006A694D"/>
    <w:rsid w:val="006A7197"/>
    <w:rsid w:val="006B1BCC"/>
    <w:rsid w:val="006B64CC"/>
    <w:rsid w:val="006C01E0"/>
    <w:rsid w:val="006C03AC"/>
    <w:rsid w:val="006C53BB"/>
    <w:rsid w:val="006C687D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C6FED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53C97"/>
    <w:rsid w:val="008560A9"/>
    <w:rsid w:val="00867A26"/>
    <w:rsid w:val="00871106"/>
    <w:rsid w:val="0087180F"/>
    <w:rsid w:val="00871D43"/>
    <w:rsid w:val="00886715"/>
    <w:rsid w:val="00891CE3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3D2D"/>
    <w:rsid w:val="009A6371"/>
    <w:rsid w:val="009A7ABC"/>
    <w:rsid w:val="009B366E"/>
    <w:rsid w:val="009B3C90"/>
    <w:rsid w:val="009B4068"/>
    <w:rsid w:val="009B73CF"/>
    <w:rsid w:val="009D2568"/>
    <w:rsid w:val="009D48A4"/>
    <w:rsid w:val="00A14438"/>
    <w:rsid w:val="00A14D83"/>
    <w:rsid w:val="00A27B71"/>
    <w:rsid w:val="00A361D3"/>
    <w:rsid w:val="00A5144E"/>
    <w:rsid w:val="00A67106"/>
    <w:rsid w:val="00A848FE"/>
    <w:rsid w:val="00A8569E"/>
    <w:rsid w:val="00AC1D97"/>
    <w:rsid w:val="00AC3970"/>
    <w:rsid w:val="00AE69C0"/>
    <w:rsid w:val="00AF4AFD"/>
    <w:rsid w:val="00B11C27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AF8F5-F510-4556-A6A6-0E477046C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TRICIA A LIZAMA</cp:lastModifiedBy>
  <cp:revision>2</cp:revision>
  <cp:lastPrinted>2021-09-23T03:43:00Z</cp:lastPrinted>
  <dcterms:created xsi:type="dcterms:W3CDTF">2022-10-11T23:08:00Z</dcterms:created>
  <dcterms:modified xsi:type="dcterms:W3CDTF">2022-10-11T23:08:00Z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